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85CC" w14:textId="77777777" w:rsidR="00F525C7" w:rsidRDefault="003A1BC8">
      <w:pPr>
        <w:spacing w:line="259" w:lineRule="auto"/>
        <w:ind w:left="776" w:firstLine="0"/>
        <w:jc w:val="center"/>
      </w:pPr>
      <w:r>
        <w:rPr>
          <w:b/>
          <w:sz w:val="36"/>
        </w:rPr>
        <w:t xml:space="preserve"> </w:t>
      </w:r>
    </w:p>
    <w:p w14:paraId="3C09A4AC" w14:textId="77777777" w:rsidR="00F525C7" w:rsidRDefault="003A1BC8">
      <w:pPr>
        <w:spacing w:line="259" w:lineRule="auto"/>
        <w:ind w:left="776" w:firstLine="0"/>
        <w:jc w:val="center"/>
      </w:pPr>
      <w:r>
        <w:rPr>
          <w:b/>
          <w:sz w:val="36"/>
        </w:rPr>
        <w:t xml:space="preserve"> </w:t>
      </w:r>
    </w:p>
    <w:p w14:paraId="58FF31D9" w14:textId="77777777" w:rsidR="00F525C7" w:rsidRDefault="003A1BC8">
      <w:pPr>
        <w:spacing w:line="259" w:lineRule="auto"/>
        <w:ind w:left="776" w:firstLine="0"/>
        <w:jc w:val="center"/>
      </w:pPr>
      <w:r>
        <w:rPr>
          <w:b/>
          <w:sz w:val="36"/>
        </w:rPr>
        <w:t xml:space="preserve"> </w:t>
      </w:r>
    </w:p>
    <w:p w14:paraId="51284A17" w14:textId="77777777" w:rsidR="00F525C7" w:rsidRDefault="003A1BC8">
      <w:pPr>
        <w:spacing w:line="259" w:lineRule="auto"/>
        <w:ind w:left="776" w:firstLine="0"/>
        <w:jc w:val="center"/>
      </w:pPr>
      <w:r>
        <w:rPr>
          <w:b/>
          <w:sz w:val="36"/>
        </w:rPr>
        <w:t xml:space="preserve"> </w:t>
      </w:r>
    </w:p>
    <w:p w14:paraId="11AF42A7" w14:textId="77777777" w:rsidR="00F525C7" w:rsidRDefault="003A1BC8">
      <w:pPr>
        <w:spacing w:line="259" w:lineRule="auto"/>
        <w:ind w:left="776" w:firstLine="0"/>
        <w:jc w:val="center"/>
      </w:pPr>
      <w:r>
        <w:rPr>
          <w:b/>
          <w:sz w:val="36"/>
        </w:rPr>
        <w:t xml:space="preserve"> </w:t>
      </w:r>
    </w:p>
    <w:p w14:paraId="0B9CC289" w14:textId="77777777" w:rsidR="00F525C7" w:rsidRDefault="003A1BC8">
      <w:pPr>
        <w:spacing w:line="259" w:lineRule="auto"/>
        <w:ind w:left="776" w:firstLine="0"/>
        <w:jc w:val="center"/>
      </w:pPr>
      <w:r>
        <w:rPr>
          <w:b/>
          <w:sz w:val="36"/>
        </w:rPr>
        <w:t xml:space="preserve"> </w:t>
      </w:r>
    </w:p>
    <w:p w14:paraId="17DFA849" w14:textId="77777777" w:rsidR="00F525C7" w:rsidRDefault="003A1BC8">
      <w:pPr>
        <w:spacing w:line="259" w:lineRule="auto"/>
        <w:ind w:left="776" w:firstLine="0"/>
        <w:jc w:val="center"/>
      </w:pPr>
      <w:r>
        <w:rPr>
          <w:b/>
          <w:sz w:val="36"/>
        </w:rPr>
        <w:t xml:space="preserve"> </w:t>
      </w:r>
    </w:p>
    <w:p w14:paraId="7A47B9EE" w14:textId="77777777" w:rsidR="00F525C7" w:rsidRDefault="003A1BC8">
      <w:pPr>
        <w:spacing w:line="259" w:lineRule="auto"/>
        <w:ind w:left="776" w:firstLine="0"/>
        <w:jc w:val="center"/>
      </w:pPr>
      <w:r>
        <w:rPr>
          <w:b/>
          <w:sz w:val="36"/>
        </w:rPr>
        <w:t xml:space="preserve"> </w:t>
      </w:r>
    </w:p>
    <w:p w14:paraId="2CB4CF41" w14:textId="77777777" w:rsidR="00F525C7" w:rsidRDefault="003A1BC8">
      <w:pPr>
        <w:spacing w:line="259" w:lineRule="auto"/>
        <w:ind w:right="2167"/>
        <w:jc w:val="right"/>
      </w:pPr>
      <w:r>
        <w:rPr>
          <w:b/>
          <w:sz w:val="36"/>
        </w:rPr>
        <w:t xml:space="preserve">Chadwick High School </w:t>
      </w:r>
    </w:p>
    <w:p w14:paraId="2F7FCAC1" w14:textId="77777777" w:rsidR="00F525C7" w:rsidRDefault="003A1BC8">
      <w:pPr>
        <w:spacing w:line="259" w:lineRule="auto"/>
        <w:ind w:left="776" w:firstLine="0"/>
        <w:jc w:val="center"/>
      </w:pPr>
      <w:r>
        <w:rPr>
          <w:b/>
          <w:sz w:val="36"/>
        </w:rPr>
        <w:t xml:space="preserve"> </w:t>
      </w:r>
    </w:p>
    <w:p w14:paraId="5492154B" w14:textId="77777777" w:rsidR="00F525C7" w:rsidRDefault="003A1BC8">
      <w:pPr>
        <w:spacing w:line="259" w:lineRule="auto"/>
        <w:ind w:right="1922"/>
        <w:jc w:val="right"/>
      </w:pPr>
      <w:r>
        <w:rPr>
          <w:b/>
          <w:sz w:val="36"/>
        </w:rPr>
        <w:t xml:space="preserve">Anti-Radicalisation Policy </w:t>
      </w:r>
    </w:p>
    <w:p w14:paraId="0347CD85" w14:textId="77777777" w:rsidR="00F525C7" w:rsidRDefault="003A1BC8">
      <w:pPr>
        <w:spacing w:line="259" w:lineRule="auto"/>
        <w:ind w:left="776" w:firstLine="0"/>
        <w:jc w:val="center"/>
      </w:pPr>
      <w:r>
        <w:rPr>
          <w:b/>
          <w:sz w:val="36"/>
        </w:rPr>
        <w:t xml:space="preserve"> </w:t>
      </w:r>
    </w:p>
    <w:p w14:paraId="74A410AD" w14:textId="0FA31B85" w:rsidR="00F525C7" w:rsidRDefault="003A1BC8">
      <w:pPr>
        <w:spacing w:line="259" w:lineRule="auto"/>
        <w:ind w:right="2167"/>
        <w:jc w:val="right"/>
      </w:pPr>
      <w:r>
        <w:rPr>
          <w:b/>
          <w:sz w:val="36"/>
        </w:rPr>
        <w:t>September 202</w:t>
      </w:r>
      <w:r w:rsidR="00D22F84">
        <w:rPr>
          <w:b/>
          <w:sz w:val="36"/>
        </w:rPr>
        <w:t>4-2025</w:t>
      </w:r>
    </w:p>
    <w:p w14:paraId="5520A0E1" w14:textId="77777777" w:rsidR="00F525C7" w:rsidRDefault="003A1BC8">
      <w:pPr>
        <w:spacing w:line="259" w:lineRule="auto"/>
        <w:ind w:left="776" w:firstLine="0"/>
        <w:jc w:val="center"/>
      </w:pPr>
      <w:r>
        <w:rPr>
          <w:b/>
          <w:sz w:val="36"/>
        </w:rPr>
        <w:t xml:space="preserve"> </w:t>
      </w:r>
    </w:p>
    <w:p w14:paraId="5FC8B506" w14:textId="77777777" w:rsidR="00F525C7" w:rsidRDefault="003A1BC8">
      <w:pPr>
        <w:spacing w:line="259" w:lineRule="auto"/>
        <w:ind w:left="0" w:firstLine="0"/>
      </w:pPr>
      <w:r>
        <w:t xml:space="preserve"> </w:t>
      </w:r>
      <w:r>
        <w:tab/>
        <w:t xml:space="preserve"> </w:t>
      </w:r>
      <w:r>
        <w:br w:type="page"/>
      </w:r>
    </w:p>
    <w:p w14:paraId="31D5867D" w14:textId="77777777" w:rsidR="00F525C7" w:rsidRDefault="003A1BC8">
      <w:pPr>
        <w:spacing w:line="259" w:lineRule="auto"/>
        <w:ind w:left="0" w:firstLine="0"/>
      </w:pPr>
      <w:r>
        <w:lastRenderedPageBreak/>
        <w:t xml:space="preserve"> </w:t>
      </w:r>
    </w:p>
    <w:p w14:paraId="6795450C" w14:textId="77777777" w:rsidR="00F525C7" w:rsidRDefault="003A1BC8">
      <w:pPr>
        <w:ind w:right="9"/>
      </w:pPr>
      <w:r>
        <w:t xml:space="preserve">Protecting children from the risk of radicalisation is part of all our wider safeguarding duties  and is similar in nature to protecting children from other harms (e.g. criminal exploitation,  neglect, sexual exploitation), whether these come from within their family or are the  product of outside influences. </w:t>
      </w:r>
    </w:p>
    <w:p w14:paraId="6486BCD1" w14:textId="77777777" w:rsidR="00F525C7" w:rsidRDefault="003A1BC8">
      <w:pPr>
        <w:spacing w:line="259" w:lineRule="auto"/>
        <w:ind w:left="0" w:firstLine="0"/>
      </w:pPr>
      <w:r>
        <w:t xml:space="preserve"> </w:t>
      </w:r>
    </w:p>
    <w:p w14:paraId="20068781" w14:textId="77777777" w:rsidR="00F525C7" w:rsidRDefault="003A1BC8">
      <w:pPr>
        <w:ind w:right="9"/>
      </w:pPr>
      <w:r>
        <w:t xml:space="preserve">As with all safeguarding we consider this to be everyone’s business and we have the  mindset” It could happen here”  </w:t>
      </w:r>
    </w:p>
    <w:p w14:paraId="358910B8" w14:textId="77777777" w:rsidR="00F525C7" w:rsidRDefault="003A1BC8">
      <w:pPr>
        <w:spacing w:line="259" w:lineRule="auto"/>
        <w:ind w:left="0" w:firstLine="0"/>
      </w:pPr>
      <w:r>
        <w:t xml:space="preserve"> </w:t>
      </w:r>
    </w:p>
    <w:p w14:paraId="665326CD" w14:textId="77777777" w:rsidR="00F525C7" w:rsidRDefault="003A1BC8">
      <w:pPr>
        <w:ind w:right="9"/>
      </w:pPr>
      <w:r>
        <w:t xml:space="preserve">Radicalisation refers to the process by which a person comes to support terrorism and  forms of extremism leading to terrorism. </w:t>
      </w:r>
    </w:p>
    <w:p w14:paraId="1F047D03" w14:textId="77777777" w:rsidR="00F525C7" w:rsidRDefault="003A1BC8">
      <w:pPr>
        <w:spacing w:line="259" w:lineRule="auto"/>
        <w:ind w:left="0" w:firstLine="0"/>
      </w:pPr>
      <w:r>
        <w:t xml:space="preserve"> </w:t>
      </w:r>
    </w:p>
    <w:p w14:paraId="0A3C9D35" w14:textId="77777777" w:rsidR="00F525C7" w:rsidRDefault="003A1BC8">
      <w:pPr>
        <w:pStyle w:val="Heading1"/>
        <w:ind w:left="-5"/>
      </w:pPr>
      <w:r>
        <w:t xml:space="preserve">Extremism </w:t>
      </w:r>
    </w:p>
    <w:p w14:paraId="5267A7CF" w14:textId="77777777" w:rsidR="00F525C7" w:rsidRDefault="003A1BC8">
      <w:pPr>
        <w:spacing w:line="259" w:lineRule="auto"/>
        <w:ind w:left="0" w:firstLine="0"/>
      </w:pPr>
      <w:r>
        <w:t xml:space="preserve"> </w:t>
      </w:r>
    </w:p>
    <w:p w14:paraId="6D9D9AD2" w14:textId="77777777" w:rsidR="00F525C7" w:rsidRDefault="003A1BC8">
      <w:pPr>
        <w:ind w:right="9"/>
      </w:pPr>
      <w:r>
        <w:t xml:space="preserve">“Extremism” is vocal or active opposition to fundamental British Values, including  democracy, the rule of law, individual liberty and mutual respect and tolerance of different  faiths and beliefs. Included in the definition of extremism are calls for the death of members  of the armed forces, whether in this country or overseas. Terrorist groups very often draw  on extremist ideas developed by extremist organisations. </w:t>
      </w:r>
    </w:p>
    <w:p w14:paraId="52495656" w14:textId="77777777" w:rsidR="00F525C7" w:rsidRDefault="003A1BC8">
      <w:pPr>
        <w:spacing w:line="259" w:lineRule="auto"/>
        <w:ind w:left="0" w:firstLine="0"/>
      </w:pPr>
      <w:r>
        <w:t xml:space="preserve"> </w:t>
      </w:r>
    </w:p>
    <w:p w14:paraId="6281F862" w14:textId="77777777" w:rsidR="00F525C7" w:rsidRDefault="003A1BC8">
      <w:pPr>
        <w:pStyle w:val="Heading1"/>
        <w:ind w:left="-5"/>
      </w:pPr>
      <w:r>
        <w:t xml:space="preserve">Our approach to building resilience to radicalisation and extremism </w:t>
      </w:r>
    </w:p>
    <w:p w14:paraId="2F22AAF5" w14:textId="77777777" w:rsidR="00F525C7" w:rsidRDefault="003A1BC8">
      <w:pPr>
        <w:spacing w:line="259" w:lineRule="auto"/>
        <w:ind w:left="0" w:firstLine="0"/>
      </w:pPr>
      <w:r>
        <w:t xml:space="preserve"> </w:t>
      </w:r>
    </w:p>
    <w:p w14:paraId="60054D4C" w14:textId="77777777" w:rsidR="00F525C7" w:rsidRDefault="003A1BC8">
      <w:pPr>
        <w:ind w:right="9"/>
      </w:pPr>
      <w:r>
        <w:t xml:space="preserve">There is no place for extremist views of any kind at Chadwick High, whether from internal  sources –students, staff, management committee members or external sources ‐  community, external agencies or individuals. We are committed to making sure our school i  a safe place where students can discuss and explore controversial issues safely and in an  unbiased way and where our teachers encourage and facilitate this. We also recognise that  if we fail to challenge extremist views, we are failing to protect our students. </w:t>
      </w:r>
    </w:p>
    <w:p w14:paraId="467343B6" w14:textId="77777777" w:rsidR="00F525C7" w:rsidRDefault="003A1BC8">
      <w:pPr>
        <w:spacing w:line="259" w:lineRule="auto"/>
        <w:ind w:left="0" w:firstLine="0"/>
      </w:pPr>
      <w:r>
        <w:t xml:space="preserve"> </w:t>
      </w:r>
    </w:p>
    <w:p w14:paraId="4EF9748F" w14:textId="77777777" w:rsidR="00F525C7" w:rsidRDefault="003A1BC8">
      <w:pPr>
        <w:ind w:right="9"/>
      </w:pPr>
      <w:r>
        <w:t xml:space="preserve">Extremists of all persuasions aim to develop destructive relationships between different  communities by promoting division, fear and mistrust of others based on ignorance or  prejudice and thereby limiting the life chances of young people. We view education as a  powerful weapon against this, equipping students with skills of critical thinking and an  understanding and tolerance of difference and diversity. We challenge any extremist views,  prejudice, derogatory language and discrimination.  </w:t>
      </w:r>
    </w:p>
    <w:p w14:paraId="52F96AD0" w14:textId="77777777" w:rsidR="00F525C7" w:rsidRDefault="003A1BC8">
      <w:pPr>
        <w:spacing w:line="259" w:lineRule="auto"/>
        <w:ind w:left="0" w:firstLine="0"/>
      </w:pPr>
      <w:r>
        <w:t xml:space="preserve"> </w:t>
      </w:r>
    </w:p>
    <w:p w14:paraId="458397BC" w14:textId="77777777" w:rsidR="00F525C7" w:rsidRDefault="003A1BC8">
      <w:pPr>
        <w:ind w:right="9"/>
      </w:pPr>
      <w:r>
        <w:t xml:space="preserve">Through our curriculum and our key-working with students we will promote the British  values of democracy, the rule of law, individual liberty, mutual respect and tolerance for  those with different faiths and beliefs. We will teach and encourage students to respect one  another and to respect and tolerate difference, especially those of a different faith or no  faith. We have a duty to keep our students safe and prepare them for life in modern  multicultural Britain and globally. </w:t>
      </w:r>
    </w:p>
    <w:p w14:paraId="6460EFE5" w14:textId="77777777" w:rsidR="00F525C7" w:rsidRDefault="003A1BC8">
      <w:pPr>
        <w:spacing w:line="259" w:lineRule="auto"/>
        <w:ind w:left="0" w:firstLine="0"/>
      </w:pPr>
      <w:r>
        <w:t xml:space="preserve"> </w:t>
      </w:r>
    </w:p>
    <w:p w14:paraId="75E013E8" w14:textId="77777777" w:rsidR="00F525C7" w:rsidRDefault="003A1BC8">
      <w:pPr>
        <w:ind w:right="9"/>
      </w:pPr>
      <w:r>
        <w:t xml:space="preserve">We screen visitors and external speakers to ensure their message is consistent with British  values and staff are always present during these talks or workshops. We work with key  agencies such as the police, LCC Prevent lead, Lancashire Emotional Health Service in  Schools, Addaction to help build resilience and decrease vulnerability.  </w:t>
      </w:r>
    </w:p>
    <w:p w14:paraId="3068A4D1" w14:textId="77777777" w:rsidR="00F525C7" w:rsidRDefault="003A1BC8">
      <w:pPr>
        <w:spacing w:line="259" w:lineRule="auto"/>
        <w:ind w:left="0" w:firstLine="0"/>
      </w:pPr>
      <w:r>
        <w:t xml:space="preserve"> </w:t>
      </w:r>
    </w:p>
    <w:p w14:paraId="3987B161" w14:textId="77777777" w:rsidR="00F525C7" w:rsidRDefault="003A1BC8">
      <w:pPr>
        <w:pStyle w:val="Heading1"/>
        <w:ind w:left="-5"/>
      </w:pPr>
      <w:r>
        <w:lastRenderedPageBreak/>
        <w:t xml:space="preserve">Risk Reduction </w:t>
      </w:r>
    </w:p>
    <w:p w14:paraId="25ACACB5" w14:textId="77777777" w:rsidR="00F525C7" w:rsidRDefault="003A1BC8">
      <w:pPr>
        <w:spacing w:line="259" w:lineRule="auto"/>
        <w:ind w:left="0" w:firstLine="0"/>
      </w:pPr>
      <w:r>
        <w:t xml:space="preserve"> </w:t>
      </w:r>
    </w:p>
    <w:p w14:paraId="6C6A66C1" w14:textId="77777777" w:rsidR="00F525C7" w:rsidRDefault="003A1BC8">
      <w:pPr>
        <w:ind w:right="9"/>
      </w:pPr>
      <w:r>
        <w:t xml:space="preserve">The head teacher, deputy head teacher and Safeguarding Lead will assess the level of risk  within the school and put actions in place to reduce that risk. This will be reviewed  annually with the management committee and with the safeguarding member of the  management committee </w:t>
      </w:r>
    </w:p>
    <w:p w14:paraId="48F4F37F" w14:textId="77777777" w:rsidR="00F525C7" w:rsidRDefault="003A1BC8">
      <w:pPr>
        <w:spacing w:line="259" w:lineRule="auto"/>
        <w:ind w:left="0" w:firstLine="0"/>
      </w:pPr>
      <w:r>
        <w:t xml:space="preserve"> </w:t>
      </w:r>
    </w:p>
    <w:p w14:paraId="782E32DD" w14:textId="77777777" w:rsidR="00F525C7" w:rsidRDefault="003A1BC8">
      <w:pPr>
        <w:pStyle w:val="Heading1"/>
        <w:ind w:left="-5"/>
      </w:pPr>
      <w:r>
        <w:t xml:space="preserve">ICT </w:t>
      </w:r>
    </w:p>
    <w:p w14:paraId="1F623F6C" w14:textId="77777777" w:rsidR="00F525C7" w:rsidRDefault="003A1BC8">
      <w:pPr>
        <w:spacing w:line="259" w:lineRule="auto"/>
        <w:ind w:left="0" w:firstLine="0"/>
      </w:pPr>
      <w:r>
        <w:t xml:space="preserve"> </w:t>
      </w:r>
    </w:p>
    <w:p w14:paraId="1727E4E2" w14:textId="77777777" w:rsidR="00F525C7" w:rsidRDefault="003A1BC8">
      <w:pPr>
        <w:ind w:right="9"/>
      </w:pPr>
      <w:r>
        <w:t xml:space="preserve">The statutory guidance makes clear the need for schools to ensure that children are safe  from terrorist and extremist material when accessing the internet in schools. We ensure  that suitable filtering is in place through our firewall and “intune” software. </w:t>
      </w:r>
    </w:p>
    <w:p w14:paraId="708472FD" w14:textId="77777777" w:rsidR="00F525C7" w:rsidRDefault="003A1BC8">
      <w:pPr>
        <w:spacing w:line="259" w:lineRule="auto"/>
        <w:ind w:left="0" w:firstLine="0"/>
      </w:pPr>
      <w:r>
        <w:t xml:space="preserve"> </w:t>
      </w:r>
    </w:p>
    <w:p w14:paraId="243C394A" w14:textId="77777777" w:rsidR="00F525C7" w:rsidRDefault="003A1BC8">
      <w:pPr>
        <w:pStyle w:val="Heading1"/>
        <w:ind w:left="-5"/>
      </w:pPr>
      <w:r>
        <w:t xml:space="preserve">Training  </w:t>
      </w:r>
    </w:p>
    <w:p w14:paraId="356E9C95" w14:textId="77777777" w:rsidR="00F525C7" w:rsidRDefault="003A1BC8">
      <w:pPr>
        <w:spacing w:line="259" w:lineRule="auto"/>
        <w:ind w:left="0" w:firstLine="0"/>
      </w:pPr>
      <w:r>
        <w:t xml:space="preserve"> </w:t>
      </w:r>
    </w:p>
    <w:p w14:paraId="6F79CBA7" w14:textId="77777777" w:rsidR="00F525C7" w:rsidRDefault="003A1BC8">
      <w:pPr>
        <w:ind w:right="9"/>
      </w:pPr>
      <w:r>
        <w:t xml:space="preserve">In addition to annual safeguarding training, staff will undergo annual PREVENT training to  ensure they have the skills and knowledge to recognise and refer any concerns  appropriately. As a school we will link and take advice from the Local Authority Prevent  Lead Co-ordinator.  </w:t>
      </w:r>
    </w:p>
    <w:p w14:paraId="2E86C978" w14:textId="77777777" w:rsidR="00F525C7" w:rsidRDefault="003A1BC8">
      <w:pPr>
        <w:spacing w:line="259" w:lineRule="auto"/>
        <w:ind w:left="0" w:firstLine="0"/>
      </w:pPr>
      <w:r>
        <w:t xml:space="preserve"> </w:t>
      </w:r>
    </w:p>
    <w:p w14:paraId="03EBC78E" w14:textId="77777777" w:rsidR="00F525C7" w:rsidRDefault="003A1BC8">
      <w:pPr>
        <w:ind w:right="9"/>
      </w:pPr>
      <w:r>
        <w:t xml:space="preserve">Students may become susceptible to radicalisation through a range of social, personal and  environmental factors - it is known that extremists exploit vulnerabilities in individuals to  drive a wedge between them and their families and communities. It is vital that school staff  can recognise those vulnerabilities.  </w:t>
      </w:r>
    </w:p>
    <w:p w14:paraId="07534697" w14:textId="77777777" w:rsidR="00F525C7" w:rsidRDefault="003A1BC8">
      <w:pPr>
        <w:spacing w:line="259" w:lineRule="auto"/>
        <w:ind w:left="0" w:firstLine="0"/>
      </w:pPr>
      <w:r>
        <w:t xml:space="preserve"> </w:t>
      </w:r>
    </w:p>
    <w:p w14:paraId="20C7C495" w14:textId="77777777" w:rsidR="00F525C7" w:rsidRDefault="003A1BC8">
      <w:pPr>
        <w:ind w:right="9"/>
      </w:pPr>
      <w:r>
        <w:t xml:space="preserve">Indicators of vulnerability include:  </w:t>
      </w:r>
    </w:p>
    <w:p w14:paraId="2ACD44AC" w14:textId="77777777" w:rsidR="00F525C7" w:rsidRDefault="003A1BC8">
      <w:pPr>
        <w:spacing w:line="259" w:lineRule="auto"/>
        <w:ind w:left="0" w:firstLine="0"/>
      </w:pPr>
      <w:r>
        <w:t xml:space="preserve"> </w:t>
      </w:r>
    </w:p>
    <w:p w14:paraId="1FD04B56" w14:textId="77777777" w:rsidR="00F525C7" w:rsidRDefault="003A1BC8">
      <w:pPr>
        <w:numPr>
          <w:ilvl w:val="0"/>
          <w:numId w:val="1"/>
        </w:numPr>
        <w:ind w:left="866" w:right="9" w:hanging="161"/>
      </w:pPr>
      <w:r>
        <w:t xml:space="preserve">Identity Crisis – the student is distanced from their cultural / religious heritage and  experiences discomfort about their place in society  </w:t>
      </w:r>
    </w:p>
    <w:p w14:paraId="14E6D559" w14:textId="77777777" w:rsidR="00F525C7" w:rsidRDefault="003A1BC8">
      <w:pPr>
        <w:numPr>
          <w:ilvl w:val="0"/>
          <w:numId w:val="1"/>
        </w:numPr>
        <w:ind w:left="866" w:right="9" w:hanging="161"/>
      </w:pPr>
      <w:r>
        <w:t xml:space="preserve">Personal Crisis – the student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  • Personal Circumstances – migration, local community tensions and events affecting  the student’s country or region of origin may contribute to a sense of grievance that  is triggered by personal experience of racism or discrimination or aspects of  </w:t>
      </w:r>
    </w:p>
    <w:p w14:paraId="76936629" w14:textId="77777777" w:rsidR="00F525C7" w:rsidRDefault="003A1BC8">
      <w:pPr>
        <w:ind w:left="715" w:right="9"/>
      </w:pPr>
      <w:r>
        <w:t xml:space="preserve">Government policy  </w:t>
      </w:r>
    </w:p>
    <w:p w14:paraId="0FC320E4" w14:textId="77777777" w:rsidR="00F525C7" w:rsidRDefault="003A1BC8">
      <w:pPr>
        <w:numPr>
          <w:ilvl w:val="0"/>
          <w:numId w:val="1"/>
        </w:numPr>
        <w:ind w:left="866" w:right="9" w:hanging="161"/>
      </w:pPr>
      <w:r>
        <w:t xml:space="preserve">Unmet Aspirations – the student may have perceptions of injustice; a feeling of  failure </w:t>
      </w:r>
    </w:p>
    <w:p w14:paraId="4BD1972E" w14:textId="77777777" w:rsidR="00F525C7" w:rsidRDefault="003A1BC8">
      <w:pPr>
        <w:numPr>
          <w:ilvl w:val="0"/>
          <w:numId w:val="1"/>
        </w:numPr>
        <w:ind w:left="866" w:right="9" w:hanging="161"/>
      </w:pPr>
      <w:r>
        <w:t xml:space="preserve">Experiences of Criminality – which may include involvement with criminal groups  • Special Educational Need – students may experience difficulties with social  interaction, empathy with others, understanding the consequences of their actions  and awareness of the motivations of others.  </w:t>
      </w:r>
    </w:p>
    <w:p w14:paraId="42A19D12" w14:textId="77777777" w:rsidR="00F525C7" w:rsidRDefault="003A1BC8">
      <w:pPr>
        <w:spacing w:line="259" w:lineRule="auto"/>
        <w:ind w:left="720" w:firstLine="0"/>
      </w:pPr>
      <w:r>
        <w:t xml:space="preserve"> </w:t>
      </w:r>
    </w:p>
    <w:p w14:paraId="4D13A1D1" w14:textId="77777777" w:rsidR="00F525C7" w:rsidRDefault="003A1BC8">
      <w:pPr>
        <w:ind w:right="9"/>
      </w:pPr>
      <w:r>
        <w:t xml:space="preserve">This list is not exhaustive, nor does it mean that all young people experiencing the above are  at risk of radicalisation for the purposes of violent extremism.  </w:t>
      </w:r>
    </w:p>
    <w:p w14:paraId="0533A672" w14:textId="77777777" w:rsidR="00F525C7" w:rsidRDefault="003A1BC8">
      <w:pPr>
        <w:spacing w:line="259" w:lineRule="auto"/>
        <w:ind w:left="0" w:firstLine="0"/>
      </w:pPr>
      <w:r>
        <w:t xml:space="preserve"> </w:t>
      </w:r>
    </w:p>
    <w:p w14:paraId="29851CE3" w14:textId="77777777" w:rsidR="00F525C7" w:rsidRDefault="003A1BC8">
      <w:pPr>
        <w:ind w:right="9"/>
      </w:pPr>
      <w:r>
        <w:lastRenderedPageBreak/>
        <w:t xml:space="preserve">More critical risk factors could include:  </w:t>
      </w:r>
    </w:p>
    <w:p w14:paraId="72B1F027" w14:textId="77777777" w:rsidR="00F525C7" w:rsidRDefault="003A1BC8">
      <w:pPr>
        <w:spacing w:line="259" w:lineRule="auto"/>
        <w:ind w:left="720" w:firstLine="0"/>
      </w:pPr>
      <w:r>
        <w:t xml:space="preserve"> </w:t>
      </w:r>
    </w:p>
    <w:p w14:paraId="2F56F125" w14:textId="77777777" w:rsidR="00F525C7" w:rsidRDefault="003A1BC8">
      <w:pPr>
        <w:numPr>
          <w:ilvl w:val="0"/>
          <w:numId w:val="1"/>
        </w:numPr>
        <w:ind w:left="866" w:right="9" w:hanging="161"/>
      </w:pPr>
      <w:r>
        <w:t xml:space="preserve">Being in contact with extremist recruiters;  </w:t>
      </w:r>
    </w:p>
    <w:p w14:paraId="356DDE5A" w14:textId="77777777" w:rsidR="00F525C7" w:rsidRDefault="003A1BC8">
      <w:pPr>
        <w:numPr>
          <w:ilvl w:val="0"/>
          <w:numId w:val="1"/>
        </w:numPr>
        <w:ind w:left="866" w:right="9" w:hanging="161"/>
      </w:pPr>
      <w:r>
        <w:t xml:space="preserve">Accessing violent extremist websites, especially those with a social networking  element;  </w:t>
      </w:r>
    </w:p>
    <w:p w14:paraId="52F7E83A" w14:textId="77777777" w:rsidR="00F525C7" w:rsidRDefault="003A1BC8">
      <w:pPr>
        <w:numPr>
          <w:ilvl w:val="0"/>
          <w:numId w:val="1"/>
        </w:numPr>
        <w:ind w:left="866" w:right="9" w:hanging="161"/>
      </w:pPr>
      <w:r>
        <w:t xml:space="preserve">Possessing or accessing violent extremist literature;  </w:t>
      </w:r>
    </w:p>
    <w:p w14:paraId="0B94E87E" w14:textId="77777777" w:rsidR="00F525C7" w:rsidRDefault="003A1BC8">
      <w:pPr>
        <w:numPr>
          <w:ilvl w:val="0"/>
          <w:numId w:val="1"/>
        </w:numPr>
        <w:ind w:left="866" w:right="9" w:hanging="161"/>
      </w:pPr>
      <w:r>
        <w:t xml:space="preserve">Using extremist narratives and a global ideology to explain personal disadvantage; </w:t>
      </w:r>
    </w:p>
    <w:p w14:paraId="6AA7E111" w14:textId="77777777" w:rsidR="00F525C7" w:rsidRDefault="003A1BC8">
      <w:pPr>
        <w:numPr>
          <w:ilvl w:val="0"/>
          <w:numId w:val="1"/>
        </w:numPr>
        <w:ind w:left="866" w:right="9" w:hanging="161"/>
      </w:pPr>
      <w:r>
        <w:t xml:space="preserve">Justifying the use of violence to solve societal issues;  </w:t>
      </w:r>
    </w:p>
    <w:p w14:paraId="45724B54" w14:textId="77777777" w:rsidR="00F525C7" w:rsidRDefault="003A1BC8">
      <w:pPr>
        <w:numPr>
          <w:ilvl w:val="0"/>
          <w:numId w:val="1"/>
        </w:numPr>
        <w:ind w:left="866" w:right="9" w:hanging="161"/>
      </w:pPr>
      <w:r>
        <w:t xml:space="preserve">Joining or seeking to join extremist organisations; and  </w:t>
      </w:r>
    </w:p>
    <w:p w14:paraId="4CC09C8C" w14:textId="77777777" w:rsidR="00F525C7" w:rsidRDefault="003A1BC8">
      <w:pPr>
        <w:numPr>
          <w:ilvl w:val="0"/>
          <w:numId w:val="1"/>
        </w:numPr>
        <w:ind w:left="866" w:right="9" w:hanging="161"/>
      </w:pPr>
      <w:r>
        <w:t xml:space="preserve">Significant changes to appearance and / or behaviour;  </w:t>
      </w:r>
    </w:p>
    <w:p w14:paraId="14428832" w14:textId="77777777" w:rsidR="00F525C7" w:rsidRDefault="003A1BC8">
      <w:pPr>
        <w:numPr>
          <w:ilvl w:val="0"/>
          <w:numId w:val="1"/>
        </w:numPr>
        <w:ind w:left="866" w:right="9" w:hanging="161"/>
      </w:pPr>
      <w:r>
        <w:t xml:space="preserve">Experiencing a high level of social isolation resulting in issues of identity crisis and /  or personal crisis. </w:t>
      </w:r>
    </w:p>
    <w:p w14:paraId="576F97C4" w14:textId="77777777" w:rsidR="00F525C7" w:rsidRDefault="003A1BC8">
      <w:pPr>
        <w:ind w:left="715" w:right="9"/>
      </w:pPr>
      <w:r>
        <w:t xml:space="preserve">It is vital that staff are also alert to other indicators including:  </w:t>
      </w:r>
    </w:p>
    <w:p w14:paraId="6F1E1D7B" w14:textId="77777777" w:rsidR="00F525C7" w:rsidRDefault="003A1BC8">
      <w:pPr>
        <w:numPr>
          <w:ilvl w:val="0"/>
          <w:numId w:val="1"/>
        </w:numPr>
        <w:ind w:left="866" w:right="9" w:hanging="161"/>
      </w:pPr>
      <w:r>
        <w:t xml:space="preserve">Graffiti, symbols, art-work or writing that promotes extremist messages or  organisations </w:t>
      </w:r>
    </w:p>
    <w:p w14:paraId="715DEB5F" w14:textId="77777777" w:rsidR="00F525C7" w:rsidRDefault="003A1BC8">
      <w:pPr>
        <w:numPr>
          <w:ilvl w:val="0"/>
          <w:numId w:val="1"/>
        </w:numPr>
        <w:ind w:left="866" w:right="9" w:hanging="161"/>
      </w:pPr>
      <w:r>
        <w:t xml:space="preserve">Parental reports or concerns of changes in behaviour, friendship groups or actions </w:t>
      </w:r>
    </w:p>
    <w:p w14:paraId="3B1B86BC" w14:textId="77777777" w:rsidR="00F525C7" w:rsidRDefault="003A1BC8">
      <w:pPr>
        <w:numPr>
          <w:ilvl w:val="0"/>
          <w:numId w:val="1"/>
        </w:numPr>
        <w:ind w:left="866" w:right="9" w:hanging="161"/>
      </w:pPr>
      <w:r>
        <w:t xml:space="preserve">Students voicing opinions drawn from extremist ideology  </w:t>
      </w:r>
    </w:p>
    <w:p w14:paraId="2A0CB171" w14:textId="77777777" w:rsidR="00F525C7" w:rsidRDefault="003A1BC8">
      <w:pPr>
        <w:numPr>
          <w:ilvl w:val="0"/>
          <w:numId w:val="1"/>
        </w:numPr>
        <w:ind w:left="866" w:right="9" w:hanging="161"/>
      </w:pPr>
      <w:r>
        <w:t xml:space="preserve">Use of hate terms  </w:t>
      </w:r>
    </w:p>
    <w:p w14:paraId="43FFF90B" w14:textId="77777777" w:rsidR="00F525C7" w:rsidRDefault="003A1BC8">
      <w:pPr>
        <w:numPr>
          <w:ilvl w:val="0"/>
          <w:numId w:val="1"/>
        </w:numPr>
        <w:ind w:left="866" w:right="9" w:hanging="161"/>
      </w:pPr>
      <w:r>
        <w:t xml:space="preserve">Intolerance of difference, whether secular or religious or, in line with our equalities  policy, views based on, but not limited to, gender, disability, homophobia, race,  colour or culture </w:t>
      </w:r>
    </w:p>
    <w:p w14:paraId="4E01EF4A" w14:textId="77777777" w:rsidR="00F525C7" w:rsidRDefault="003A1BC8">
      <w:pPr>
        <w:spacing w:line="259" w:lineRule="auto"/>
        <w:ind w:left="0" w:firstLine="0"/>
      </w:pPr>
      <w:r>
        <w:t xml:space="preserve"> </w:t>
      </w:r>
    </w:p>
    <w:p w14:paraId="3B45D0FC" w14:textId="77777777" w:rsidR="00F525C7" w:rsidRDefault="003A1BC8">
      <w:pPr>
        <w:spacing w:line="259" w:lineRule="auto"/>
        <w:ind w:left="-5"/>
      </w:pPr>
      <w:r>
        <w:rPr>
          <w:b/>
        </w:rPr>
        <w:t xml:space="preserve">What happens if there is a concern?  </w:t>
      </w:r>
    </w:p>
    <w:p w14:paraId="006F2AFE" w14:textId="77777777" w:rsidR="00F525C7" w:rsidRDefault="003A1BC8">
      <w:pPr>
        <w:spacing w:line="259" w:lineRule="auto"/>
        <w:ind w:left="0" w:firstLine="0"/>
      </w:pPr>
      <w:r>
        <w:t xml:space="preserve"> </w:t>
      </w:r>
    </w:p>
    <w:p w14:paraId="43D104C6" w14:textId="77777777" w:rsidR="00F525C7" w:rsidRDefault="003A1BC8">
      <w:pPr>
        <w:ind w:right="194"/>
      </w:pPr>
      <w:r>
        <w:t xml:space="preserve">Referral for any issue concerning potential radicalisation to extremism should be  managed as any other safeguarding referral. All adults working at Chadwick High are  required to report instances where they believe a child may be at risk of harm or neglect  or if they have concerns that a student may be at risk of radicalisation or involvement in  terrorism they should speak with the Prevent Lead and Single Point of Contact (SPOC.)  </w:t>
      </w:r>
    </w:p>
    <w:p w14:paraId="44B10A1B" w14:textId="77777777" w:rsidR="00F525C7" w:rsidRDefault="003A1BC8">
      <w:pPr>
        <w:spacing w:line="259" w:lineRule="auto"/>
        <w:ind w:left="0" w:firstLine="0"/>
      </w:pPr>
      <w:r>
        <w:t xml:space="preserve"> </w:t>
      </w:r>
    </w:p>
    <w:sectPr w:rsidR="00F525C7">
      <w:pgSz w:w="11906" w:h="16838"/>
      <w:pgMar w:top="1481" w:right="2136" w:bottom="170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891F48"/>
    <w:multiLevelType w:val="hybridMultilevel"/>
    <w:tmpl w:val="A9188036"/>
    <w:lvl w:ilvl="0" w:tplc="36F0E544">
      <w:start w:val="1"/>
      <w:numFmt w:val="bullet"/>
      <w:lvlText w:val="•"/>
      <w:lvlJc w:val="left"/>
      <w:pPr>
        <w:ind w:left="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56508C">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986C9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581A80">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78914A">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52E5A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80E6D8">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22F75C">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4C797A">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38581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C7"/>
    <w:rsid w:val="003A1BC8"/>
    <w:rsid w:val="00D22F84"/>
    <w:rsid w:val="00DC7E0F"/>
    <w:rsid w:val="00F52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99EC"/>
  <w15:docId w15:val="{3434C7C6-CE73-4098-A1BC-97D9A13E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Chadwick High School</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Murray</dc:creator>
  <cp:keywords/>
  <cp:lastModifiedBy>Andrew Murray</cp:lastModifiedBy>
  <cp:revision>3</cp:revision>
  <dcterms:created xsi:type="dcterms:W3CDTF">2024-02-07T13:26:00Z</dcterms:created>
  <dcterms:modified xsi:type="dcterms:W3CDTF">2024-09-29T17:55:00Z</dcterms:modified>
</cp:coreProperties>
</file>